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4B2" w:rsidRPr="00F954B2" w:rsidRDefault="00F954B2" w:rsidP="00F954B2">
      <w:pPr>
        <w:jc w:val="center"/>
        <w:rPr>
          <w:b/>
          <w:bCs/>
          <w:sz w:val="36"/>
          <w:szCs w:val="36"/>
        </w:rPr>
      </w:pPr>
      <w:r w:rsidRPr="00F954B2">
        <w:rPr>
          <w:rFonts w:hint="eastAsia"/>
          <w:b/>
          <w:bCs/>
          <w:sz w:val="36"/>
          <w:szCs w:val="36"/>
        </w:rPr>
        <w:t>法律法规和其他要求不符合项整改记录</w:t>
      </w:r>
    </w:p>
    <w:p w:rsidR="00F954B2" w:rsidRPr="00F954B2" w:rsidRDefault="00F954B2" w:rsidP="00F954B2">
      <w:pPr>
        <w:rPr>
          <w:b/>
          <w:bCs/>
          <w:sz w:val="36"/>
          <w:szCs w:val="36"/>
        </w:rPr>
      </w:pPr>
    </w:p>
    <w:tbl>
      <w:tblPr>
        <w:tblW w:w="12257" w:type="dxa"/>
        <w:tblInd w:w="609"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775"/>
        <w:gridCol w:w="2126"/>
        <w:gridCol w:w="3261"/>
        <w:gridCol w:w="2976"/>
        <w:gridCol w:w="3119"/>
      </w:tblGrid>
      <w:tr w:rsidR="00F954B2" w:rsidRPr="00F954B2" w:rsidTr="00F954B2">
        <w:trPr>
          <w:trHeight w:val="540"/>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rPr>
                <w:rFonts w:hint="eastAsia"/>
              </w:rPr>
              <w:t>序号</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pPr>
              <w:jc w:val="center"/>
            </w:pPr>
            <w:r w:rsidRPr="00F954B2">
              <w:rPr>
                <w:rFonts w:hint="eastAsia"/>
              </w:rPr>
              <w:t>法律法规及其他要求</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pPr>
              <w:jc w:val="center"/>
            </w:pPr>
            <w:r w:rsidRPr="00F954B2">
              <w:rPr>
                <w:rFonts w:hint="eastAsia"/>
              </w:rPr>
              <w:t>涉及条款</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pPr>
              <w:jc w:val="center"/>
            </w:pPr>
            <w:r w:rsidRPr="00F954B2">
              <w:rPr>
                <w:rFonts w:hint="eastAsia"/>
              </w:rPr>
              <w:t>不符合原因</w:t>
            </w:r>
          </w:p>
        </w:tc>
        <w:tc>
          <w:tcPr>
            <w:tcW w:w="3119" w:type="dxa"/>
            <w:tcBorders>
              <w:top w:val="single" w:sz="4" w:space="0" w:color="auto"/>
              <w:left w:val="single" w:sz="4" w:space="0" w:color="auto"/>
              <w:bottom w:val="single" w:sz="4" w:space="0" w:color="auto"/>
            </w:tcBorders>
            <w:vAlign w:val="center"/>
          </w:tcPr>
          <w:p w:rsidR="00F954B2" w:rsidRPr="00F954B2" w:rsidRDefault="00F954B2" w:rsidP="00F954B2">
            <w:pPr>
              <w:jc w:val="center"/>
            </w:pPr>
            <w:r>
              <w:rPr>
                <w:rFonts w:hint="eastAsia"/>
              </w:rPr>
              <w:t>整改情况</w:t>
            </w:r>
          </w:p>
        </w:tc>
      </w:tr>
      <w:tr w:rsidR="00F954B2" w:rsidRPr="00F954B2" w:rsidTr="00F954B2">
        <w:trPr>
          <w:trHeight w:val="1158"/>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t>1</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中华人民共和国消防法</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第十九条</w:t>
            </w:r>
            <w:r w:rsidRPr="00F954B2">
              <w:t xml:space="preserve">  </w:t>
            </w:r>
            <w:r w:rsidRPr="00F954B2">
              <w:rPr>
                <w:rFonts w:hint="eastAsia"/>
              </w:rPr>
              <w:t>消防产品的质量必须符合国家标准或者行业标准。禁止生产、销售或者使用未经依照产品质量法的规定确定的检验机构检验合格的消防产品。</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个别灭火器的压力表指针指向红色区域显示压力不足，个别灭火器超充装。</w:t>
            </w:r>
          </w:p>
          <w:p w:rsidR="00F954B2" w:rsidRPr="00F954B2" w:rsidRDefault="00F954B2" w:rsidP="00F954B2"/>
        </w:tc>
        <w:tc>
          <w:tcPr>
            <w:tcW w:w="3119" w:type="dxa"/>
            <w:tcBorders>
              <w:top w:val="single" w:sz="4" w:space="0" w:color="auto"/>
              <w:left w:val="single" w:sz="4" w:space="0" w:color="auto"/>
              <w:bottom w:val="single" w:sz="4" w:space="0" w:color="auto"/>
            </w:tcBorders>
            <w:vAlign w:val="center"/>
          </w:tcPr>
          <w:p w:rsidR="00F954B2" w:rsidRPr="00F954B2" w:rsidRDefault="00F954B2" w:rsidP="00F954B2">
            <w:r>
              <w:rPr>
                <w:rFonts w:hint="eastAsia"/>
              </w:rPr>
              <w:t>对压力不足的灭火器进行了重新充装，更换了超充装的灭火器。</w:t>
            </w:r>
          </w:p>
        </w:tc>
      </w:tr>
      <w:tr w:rsidR="00F954B2" w:rsidRPr="00F954B2" w:rsidTr="00F954B2">
        <w:trPr>
          <w:trHeight w:val="930"/>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t>2</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中华人民共和国职业病防治法</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第十九条</w:t>
            </w:r>
            <w:r w:rsidRPr="00F954B2">
              <w:t xml:space="preserve"> </w:t>
            </w:r>
            <w:r w:rsidRPr="00F954B2">
              <w:rPr>
                <w:rFonts w:hint="eastAsia"/>
              </w:rPr>
              <w:t>用人单位应当采取下列职业病防治管理措施：</w:t>
            </w:r>
            <w:r w:rsidRPr="00F954B2">
              <w:t xml:space="preserve"> </w:t>
            </w:r>
            <w:r w:rsidRPr="00F954B2">
              <w:rPr>
                <w:rFonts w:hint="eastAsia"/>
              </w:rPr>
              <w:t>（一）设置或者指定职业卫生管理机构或者组织，配备专职或者兼职的职业卫生专业人员，负责本单位的职业病防治工作；</w:t>
            </w:r>
            <w:r w:rsidRPr="00F954B2">
              <w:t xml:space="preserve"> </w:t>
            </w:r>
            <w:r w:rsidRPr="00F954B2">
              <w:rPr>
                <w:rFonts w:hint="eastAsia"/>
              </w:rPr>
              <w:t>（二）制定职业病防治计划和实施方案；</w:t>
            </w:r>
            <w:r w:rsidRPr="00F954B2">
              <w:t xml:space="preserve"> </w:t>
            </w:r>
            <w:r w:rsidRPr="00F954B2">
              <w:rPr>
                <w:rFonts w:hint="eastAsia"/>
              </w:rPr>
              <w:t>（三）建立、健全职业卫生管理制度和操作规程；</w:t>
            </w:r>
            <w:r w:rsidRPr="00F954B2">
              <w:t xml:space="preserve"> </w:t>
            </w:r>
            <w:r w:rsidRPr="00F954B2">
              <w:rPr>
                <w:rFonts w:hint="eastAsia"/>
              </w:rPr>
              <w:t>（四）建立、健全职业卫生档案和劳动者健康监护档案；</w:t>
            </w:r>
            <w:r w:rsidRPr="00F954B2">
              <w:t xml:space="preserve"> </w:t>
            </w:r>
            <w:r w:rsidRPr="00F954B2">
              <w:rPr>
                <w:rFonts w:hint="eastAsia"/>
              </w:rPr>
              <w:t>（五）建立、健全工作场所职业病危害因素监测及评价制度；</w:t>
            </w:r>
            <w:r w:rsidRPr="00F954B2">
              <w:t xml:space="preserve"> </w:t>
            </w:r>
            <w:r w:rsidRPr="00F954B2">
              <w:rPr>
                <w:rFonts w:hint="eastAsia"/>
              </w:rPr>
              <w:t>（六）建立、健全职业病危害事故应急救援预案。</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未设定职业卫生兼职人员，未制定职业病防治计划，未建立健全职业病危害事故应急档案。</w:t>
            </w:r>
          </w:p>
          <w:p w:rsidR="00F954B2" w:rsidRPr="00F954B2" w:rsidRDefault="00F954B2" w:rsidP="00F954B2"/>
        </w:tc>
        <w:tc>
          <w:tcPr>
            <w:tcW w:w="3119" w:type="dxa"/>
            <w:tcBorders>
              <w:top w:val="single" w:sz="4" w:space="0" w:color="auto"/>
              <w:left w:val="single" w:sz="4" w:space="0" w:color="auto"/>
              <w:bottom w:val="single" w:sz="4" w:space="0" w:color="auto"/>
            </w:tcBorders>
            <w:vAlign w:val="center"/>
          </w:tcPr>
          <w:p w:rsidR="00F954B2" w:rsidRPr="00F954B2" w:rsidRDefault="00F954B2" w:rsidP="00F954B2">
            <w:r>
              <w:rPr>
                <w:rFonts w:hint="eastAsia"/>
              </w:rPr>
              <w:t>指定了兼职的职业卫生管理人员，制订了</w:t>
            </w:r>
            <w:r w:rsidRPr="00F954B2">
              <w:rPr>
                <w:rFonts w:hint="eastAsia"/>
              </w:rPr>
              <w:t>职业病防治计划</w:t>
            </w:r>
            <w:r>
              <w:rPr>
                <w:rFonts w:hint="eastAsia"/>
              </w:rPr>
              <w:t>，初步建立了职业卫生档案。</w:t>
            </w:r>
          </w:p>
        </w:tc>
      </w:tr>
      <w:tr w:rsidR="00F954B2" w:rsidRPr="00F954B2" w:rsidTr="00F954B2">
        <w:trPr>
          <w:trHeight w:val="2111"/>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t>3</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中华人民共和国安全生产法</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第二十五条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对有关的安全生产规章制度和安全操作规程不够熟悉，本岗位的安全操作技能掌握不足，对事故应急处理措施不熟悉，对自身在安全生产方面的权利和义务掌握不足。</w:t>
            </w:r>
          </w:p>
        </w:tc>
        <w:tc>
          <w:tcPr>
            <w:tcW w:w="3119" w:type="dxa"/>
            <w:tcBorders>
              <w:top w:val="single" w:sz="4" w:space="0" w:color="auto"/>
              <w:left w:val="single" w:sz="4" w:space="0" w:color="auto"/>
              <w:bottom w:val="single" w:sz="4" w:space="0" w:color="auto"/>
            </w:tcBorders>
            <w:vAlign w:val="center"/>
          </w:tcPr>
          <w:p w:rsidR="00F954B2" w:rsidRPr="00F954B2" w:rsidRDefault="00046E5E" w:rsidP="00F954B2">
            <w:r>
              <w:rPr>
                <w:rFonts w:hint="eastAsia"/>
              </w:rPr>
              <w:t>组织开展了管理制度、操作规程和应急预案的培训，组织对安全生产法中员工权利义务的学习。</w:t>
            </w:r>
          </w:p>
        </w:tc>
      </w:tr>
      <w:tr w:rsidR="00F954B2" w:rsidRPr="00F954B2" w:rsidTr="00F954B2">
        <w:trPr>
          <w:trHeight w:val="848"/>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lastRenderedPageBreak/>
              <w:t>4</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中华人民共和国安全生产法</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第四十二条生产经营单位必须为从业人员提供符合国家标准或者行业标准的劳动防护用品，并监督、教育从业人员按照使用规则佩戴、使用。</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个别员工存在不按要求使用工作鞋的情况。</w:t>
            </w:r>
          </w:p>
        </w:tc>
        <w:tc>
          <w:tcPr>
            <w:tcW w:w="3119" w:type="dxa"/>
            <w:tcBorders>
              <w:top w:val="single" w:sz="4" w:space="0" w:color="auto"/>
              <w:left w:val="single" w:sz="4" w:space="0" w:color="auto"/>
              <w:bottom w:val="single" w:sz="4" w:space="0" w:color="auto"/>
            </w:tcBorders>
            <w:vAlign w:val="center"/>
          </w:tcPr>
          <w:p w:rsidR="00F954B2" w:rsidRPr="00F954B2" w:rsidRDefault="00046E5E" w:rsidP="00046E5E">
            <w:r>
              <w:rPr>
                <w:rFonts w:hint="eastAsia"/>
              </w:rPr>
              <w:t>举一反三，要求员工按规定穿戴劳动保护用品，对不穿的员工进行了经济处罚和批评教育。</w:t>
            </w:r>
          </w:p>
        </w:tc>
      </w:tr>
      <w:tr w:rsidR="00F954B2" w:rsidRPr="00F954B2" w:rsidTr="00F954B2">
        <w:trPr>
          <w:trHeight w:val="796"/>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r w:rsidRPr="00F954B2">
              <w:t>5</w:t>
            </w: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生产安全事故应急预案管理办法</w:t>
            </w:r>
          </w:p>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t>第十六条生产经营单位应急预案应当包括向上级应急管理机构报告的内容、应急组织机构和人员的联系方式、应急物资储备清单等附件信息。附件信息发生变化时，应当及时更新，确保准确有效。</w:t>
            </w:r>
          </w:p>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r w:rsidRPr="00F954B2">
              <w:rPr>
                <w:rFonts w:hint="eastAsia"/>
              </w:rPr>
              <w:t>未及时更新附件信息。</w:t>
            </w:r>
          </w:p>
        </w:tc>
        <w:tc>
          <w:tcPr>
            <w:tcW w:w="3119" w:type="dxa"/>
            <w:tcBorders>
              <w:top w:val="single" w:sz="4" w:space="0" w:color="auto"/>
              <w:left w:val="single" w:sz="4" w:space="0" w:color="auto"/>
              <w:bottom w:val="single" w:sz="4" w:space="0" w:color="auto"/>
            </w:tcBorders>
            <w:vAlign w:val="center"/>
          </w:tcPr>
          <w:p w:rsidR="00F954B2" w:rsidRPr="00F954B2" w:rsidRDefault="00046E5E" w:rsidP="00F954B2">
            <w:r>
              <w:rPr>
                <w:rFonts w:hint="eastAsia"/>
              </w:rPr>
              <w:t>对</w:t>
            </w:r>
            <w:r w:rsidRPr="00046E5E">
              <w:t>应急组织机构和人员的联系方式、应急物资储备清单等附件信息</w:t>
            </w:r>
            <w:r>
              <w:rPr>
                <w:rFonts w:hint="eastAsia"/>
              </w:rPr>
              <w:t>进行了更新。考虑将预案做成活页样式，便于更新替换。</w:t>
            </w:r>
          </w:p>
        </w:tc>
      </w:tr>
      <w:tr w:rsidR="00F954B2" w:rsidRPr="00F954B2" w:rsidTr="00F954B2">
        <w:trPr>
          <w:trHeight w:val="796"/>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3119" w:type="dxa"/>
            <w:tcBorders>
              <w:top w:val="single" w:sz="4" w:space="0" w:color="auto"/>
              <w:left w:val="single" w:sz="4" w:space="0" w:color="auto"/>
              <w:bottom w:val="single" w:sz="4" w:space="0" w:color="auto"/>
            </w:tcBorders>
            <w:vAlign w:val="center"/>
          </w:tcPr>
          <w:p w:rsidR="00F954B2" w:rsidRPr="00F954B2" w:rsidRDefault="00F954B2" w:rsidP="00F954B2"/>
        </w:tc>
      </w:tr>
      <w:tr w:rsidR="00F954B2" w:rsidRPr="00F954B2" w:rsidTr="00F954B2">
        <w:trPr>
          <w:trHeight w:val="796"/>
        </w:trPr>
        <w:tc>
          <w:tcPr>
            <w:tcW w:w="775" w:type="dxa"/>
            <w:tcBorders>
              <w:top w:val="single" w:sz="4" w:space="0" w:color="auto"/>
              <w:bottom w:val="single" w:sz="4" w:space="0" w:color="auto"/>
              <w:right w:val="single" w:sz="4" w:space="0" w:color="auto"/>
            </w:tcBorders>
            <w:vAlign w:val="center"/>
          </w:tcPr>
          <w:p w:rsidR="00F954B2" w:rsidRPr="00F954B2" w:rsidRDefault="00F954B2" w:rsidP="001A5751">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3261"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2976" w:type="dxa"/>
            <w:tcBorders>
              <w:top w:val="single" w:sz="4" w:space="0" w:color="auto"/>
              <w:left w:val="single" w:sz="4" w:space="0" w:color="auto"/>
              <w:bottom w:val="single" w:sz="4" w:space="0" w:color="auto"/>
              <w:right w:val="single" w:sz="4" w:space="0" w:color="auto"/>
            </w:tcBorders>
            <w:vAlign w:val="center"/>
          </w:tcPr>
          <w:p w:rsidR="00F954B2" w:rsidRPr="00F954B2" w:rsidRDefault="00F954B2" w:rsidP="00F954B2"/>
        </w:tc>
        <w:tc>
          <w:tcPr>
            <w:tcW w:w="3119" w:type="dxa"/>
            <w:tcBorders>
              <w:top w:val="single" w:sz="4" w:space="0" w:color="auto"/>
              <w:left w:val="single" w:sz="4" w:space="0" w:color="auto"/>
              <w:bottom w:val="single" w:sz="4" w:space="0" w:color="auto"/>
            </w:tcBorders>
            <w:vAlign w:val="center"/>
          </w:tcPr>
          <w:p w:rsidR="00F954B2" w:rsidRPr="00F954B2" w:rsidRDefault="00F954B2" w:rsidP="00F954B2"/>
        </w:tc>
      </w:tr>
      <w:tr w:rsidR="00046E5E" w:rsidRPr="00F954B2" w:rsidTr="00F954B2">
        <w:trPr>
          <w:trHeight w:val="796"/>
        </w:trPr>
        <w:tc>
          <w:tcPr>
            <w:tcW w:w="775" w:type="dxa"/>
            <w:tcBorders>
              <w:top w:val="single" w:sz="4" w:space="0" w:color="auto"/>
              <w:bottom w:val="single" w:sz="4" w:space="0" w:color="auto"/>
              <w:right w:val="single" w:sz="4" w:space="0" w:color="auto"/>
            </w:tcBorders>
            <w:vAlign w:val="center"/>
          </w:tcPr>
          <w:p w:rsidR="00046E5E" w:rsidRPr="00F954B2" w:rsidRDefault="00046E5E" w:rsidP="001A5751">
            <w:pPr>
              <w:jc w:val="center"/>
            </w:pPr>
          </w:p>
        </w:tc>
        <w:tc>
          <w:tcPr>
            <w:tcW w:w="2126" w:type="dxa"/>
            <w:tcBorders>
              <w:top w:val="single" w:sz="4" w:space="0" w:color="auto"/>
              <w:left w:val="single" w:sz="4" w:space="0" w:color="auto"/>
              <w:bottom w:val="single" w:sz="4" w:space="0" w:color="auto"/>
              <w:right w:val="single" w:sz="4" w:space="0" w:color="auto"/>
            </w:tcBorders>
            <w:vAlign w:val="center"/>
          </w:tcPr>
          <w:p w:rsidR="00046E5E" w:rsidRPr="00F954B2" w:rsidRDefault="00046E5E" w:rsidP="00F954B2"/>
        </w:tc>
        <w:tc>
          <w:tcPr>
            <w:tcW w:w="3261" w:type="dxa"/>
            <w:tcBorders>
              <w:top w:val="single" w:sz="4" w:space="0" w:color="auto"/>
              <w:left w:val="single" w:sz="4" w:space="0" w:color="auto"/>
              <w:bottom w:val="single" w:sz="4" w:space="0" w:color="auto"/>
              <w:right w:val="single" w:sz="4" w:space="0" w:color="auto"/>
            </w:tcBorders>
            <w:vAlign w:val="center"/>
          </w:tcPr>
          <w:p w:rsidR="00046E5E" w:rsidRPr="00F954B2" w:rsidRDefault="00046E5E" w:rsidP="00F954B2"/>
        </w:tc>
        <w:tc>
          <w:tcPr>
            <w:tcW w:w="2976" w:type="dxa"/>
            <w:tcBorders>
              <w:top w:val="single" w:sz="4" w:space="0" w:color="auto"/>
              <w:left w:val="single" w:sz="4" w:space="0" w:color="auto"/>
              <w:bottom w:val="single" w:sz="4" w:space="0" w:color="auto"/>
              <w:right w:val="single" w:sz="4" w:space="0" w:color="auto"/>
            </w:tcBorders>
            <w:vAlign w:val="center"/>
          </w:tcPr>
          <w:p w:rsidR="00046E5E" w:rsidRPr="00F954B2" w:rsidRDefault="00046E5E" w:rsidP="00F954B2"/>
        </w:tc>
        <w:tc>
          <w:tcPr>
            <w:tcW w:w="3119" w:type="dxa"/>
            <w:tcBorders>
              <w:top w:val="single" w:sz="4" w:space="0" w:color="auto"/>
              <w:left w:val="single" w:sz="4" w:space="0" w:color="auto"/>
              <w:bottom w:val="single" w:sz="4" w:space="0" w:color="auto"/>
            </w:tcBorders>
            <w:vAlign w:val="center"/>
          </w:tcPr>
          <w:p w:rsidR="00046E5E" w:rsidRPr="00F954B2" w:rsidRDefault="00046E5E" w:rsidP="00F954B2"/>
        </w:tc>
      </w:tr>
    </w:tbl>
    <w:p w:rsidR="00CA14F3" w:rsidRDefault="008565CA" w:rsidP="00F954B2"/>
    <w:p w:rsidR="00046E5E" w:rsidRDefault="00046E5E" w:rsidP="00F954B2"/>
    <w:p w:rsidR="00046E5E" w:rsidRDefault="00046E5E" w:rsidP="00F954B2"/>
    <w:p w:rsidR="00046E5E" w:rsidRDefault="00046E5E" w:rsidP="00F954B2">
      <w:r>
        <w:rPr>
          <w:rFonts w:hint="eastAsia"/>
        </w:rPr>
        <w:t xml:space="preserve">                                                                                      </w:t>
      </w:r>
      <w:r>
        <w:rPr>
          <w:rFonts w:hint="eastAsia"/>
        </w:rPr>
        <w:t>整改确认人：</w:t>
      </w:r>
    </w:p>
    <w:p w:rsidR="00046E5E" w:rsidRDefault="00046E5E" w:rsidP="00F954B2"/>
    <w:p w:rsidR="00046E5E" w:rsidRDefault="00046E5E" w:rsidP="00F954B2">
      <w:r>
        <w:rPr>
          <w:rFonts w:hint="eastAsia"/>
        </w:rPr>
        <w:t xml:space="preserve">                                                                                      </w:t>
      </w:r>
    </w:p>
    <w:p w:rsidR="00046E5E" w:rsidRPr="00F954B2" w:rsidRDefault="00046E5E" w:rsidP="00F954B2">
      <w:r>
        <w:rPr>
          <w:rFonts w:hint="eastAsia"/>
        </w:rPr>
        <w:t xml:space="preserve">                                                                                      </w:t>
      </w:r>
      <w:r>
        <w:rPr>
          <w:rFonts w:hint="eastAsia"/>
        </w:rPr>
        <w:t>确认日期：</w:t>
      </w:r>
      <w:r>
        <w:rPr>
          <w:rFonts w:hint="eastAsia"/>
        </w:rPr>
        <w:t>2016.</w:t>
      </w:r>
      <w:r w:rsidR="0056566C">
        <w:rPr>
          <w:rFonts w:hint="eastAsia"/>
        </w:rPr>
        <w:t>7</w:t>
      </w:r>
      <w:r>
        <w:rPr>
          <w:rFonts w:hint="eastAsia"/>
        </w:rPr>
        <w:t>.</w:t>
      </w:r>
      <w:r w:rsidR="00B50E4F">
        <w:rPr>
          <w:rFonts w:hint="eastAsia"/>
        </w:rPr>
        <w:t>20</w:t>
      </w:r>
      <w:bookmarkStart w:id="0" w:name="_GoBack"/>
      <w:bookmarkEnd w:id="0"/>
    </w:p>
    <w:sectPr w:rsidR="00046E5E" w:rsidRPr="00F954B2" w:rsidSect="00877788">
      <w:footerReference w:type="default" r:id="rId7"/>
      <w:pgSz w:w="15840" w:h="12240" w:orient="landscape" w:code="54"/>
      <w:pgMar w:top="1276" w:right="1440" w:bottom="851"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65CA" w:rsidRDefault="008565CA">
      <w:r>
        <w:separator/>
      </w:r>
    </w:p>
  </w:endnote>
  <w:endnote w:type="continuationSeparator" w:id="0">
    <w:p w:rsidR="008565CA" w:rsidRDefault="00856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D508F" w:rsidRDefault="001A5751" w:rsidP="00AC1A6B">
    <w:pPr>
      <w:pStyle w:val="a3"/>
      <w:framePr w:wrap="auto"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B50E4F">
      <w:rPr>
        <w:rStyle w:val="a4"/>
        <w:noProof/>
      </w:rPr>
      <w:t>2</w:t>
    </w:r>
    <w:r>
      <w:rPr>
        <w:rStyle w:val="a4"/>
      </w:rPr>
      <w:fldChar w:fldCharType="end"/>
    </w:r>
  </w:p>
  <w:p w:rsidR="00BD508F" w:rsidRDefault="008565C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65CA" w:rsidRDefault="008565CA">
      <w:r>
        <w:separator/>
      </w:r>
    </w:p>
  </w:footnote>
  <w:footnote w:type="continuationSeparator" w:id="0">
    <w:p w:rsidR="008565CA" w:rsidRDefault="008565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4B2"/>
    <w:rsid w:val="00046E5E"/>
    <w:rsid w:val="001A5751"/>
    <w:rsid w:val="001C11DF"/>
    <w:rsid w:val="002B3D23"/>
    <w:rsid w:val="003F33E5"/>
    <w:rsid w:val="00564D21"/>
    <w:rsid w:val="0056566C"/>
    <w:rsid w:val="00587751"/>
    <w:rsid w:val="00647F7A"/>
    <w:rsid w:val="008565CA"/>
    <w:rsid w:val="009573F8"/>
    <w:rsid w:val="00A27B5F"/>
    <w:rsid w:val="00B50E4F"/>
    <w:rsid w:val="00C40B0C"/>
    <w:rsid w:val="00F954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F954B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semiHidden/>
    <w:rsid w:val="00F954B2"/>
    <w:rPr>
      <w:rFonts w:ascii="Times New Roman" w:eastAsia="宋体" w:hAnsi="Times New Roman" w:cs="Times New Roman"/>
      <w:sz w:val="18"/>
      <w:szCs w:val="18"/>
    </w:rPr>
  </w:style>
  <w:style w:type="character" w:styleId="a4">
    <w:name w:val="page number"/>
    <w:basedOn w:val="a0"/>
    <w:uiPriority w:val="99"/>
    <w:rsid w:val="00F954B2"/>
    <w:rPr>
      <w:rFonts w:cs="Times New Roman"/>
    </w:rPr>
  </w:style>
  <w:style w:type="paragraph" w:styleId="a5">
    <w:name w:val="header"/>
    <w:basedOn w:val="a"/>
    <w:link w:val="Char0"/>
    <w:uiPriority w:val="99"/>
    <w:unhideWhenUsed/>
    <w:rsid w:val="005656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6566C"/>
    <w:rPr>
      <w:sz w:val="18"/>
      <w:szCs w:val="18"/>
    </w:rPr>
  </w:style>
  <w:style w:type="paragraph" w:styleId="a6">
    <w:name w:val="Balloon Text"/>
    <w:basedOn w:val="a"/>
    <w:link w:val="Char1"/>
    <w:uiPriority w:val="99"/>
    <w:semiHidden/>
    <w:unhideWhenUsed/>
    <w:rsid w:val="0056566C"/>
    <w:rPr>
      <w:sz w:val="18"/>
      <w:szCs w:val="18"/>
    </w:rPr>
  </w:style>
  <w:style w:type="character" w:customStyle="1" w:styleId="Char1">
    <w:name w:val="批注框文本 Char"/>
    <w:basedOn w:val="a0"/>
    <w:link w:val="a6"/>
    <w:uiPriority w:val="99"/>
    <w:semiHidden/>
    <w:rsid w:val="0056566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F954B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3"/>
    <w:uiPriority w:val="99"/>
    <w:semiHidden/>
    <w:rsid w:val="00F954B2"/>
    <w:rPr>
      <w:rFonts w:ascii="Times New Roman" w:eastAsia="宋体" w:hAnsi="Times New Roman" w:cs="Times New Roman"/>
      <w:sz w:val="18"/>
      <w:szCs w:val="18"/>
    </w:rPr>
  </w:style>
  <w:style w:type="character" w:styleId="a4">
    <w:name w:val="page number"/>
    <w:basedOn w:val="a0"/>
    <w:uiPriority w:val="99"/>
    <w:rsid w:val="00F954B2"/>
    <w:rPr>
      <w:rFonts w:cs="Times New Roman"/>
    </w:rPr>
  </w:style>
  <w:style w:type="paragraph" w:styleId="a5">
    <w:name w:val="header"/>
    <w:basedOn w:val="a"/>
    <w:link w:val="Char0"/>
    <w:uiPriority w:val="99"/>
    <w:unhideWhenUsed/>
    <w:rsid w:val="0056566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56566C"/>
    <w:rPr>
      <w:sz w:val="18"/>
      <w:szCs w:val="18"/>
    </w:rPr>
  </w:style>
  <w:style w:type="paragraph" w:styleId="a6">
    <w:name w:val="Balloon Text"/>
    <w:basedOn w:val="a"/>
    <w:link w:val="Char1"/>
    <w:uiPriority w:val="99"/>
    <w:semiHidden/>
    <w:unhideWhenUsed/>
    <w:rsid w:val="0056566C"/>
    <w:rPr>
      <w:sz w:val="18"/>
      <w:szCs w:val="18"/>
    </w:rPr>
  </w:style>
  <w:style w:type="character" w:customStyle="1" w:styleId="Char1">
    <w:name w:val="批注框文本 Char"/>
    <w:basedOn w:val="a0"/>
    <w:link w:val="a6"/>
    <w:uiPriority w:val="99"/>
    <w:semiHidden/>
    <w:rsid w:val="0056566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2</Pages>
  <Words>205</Words>
  <Characters>1174</Characters>
  <Application>Microsoft Office Word</Application>
  <DocSecurity>0</DocSecurity>
  <Lines>9</Lines>
  <Paragraphs>2</Paragraphs>
  <ScaleCrop>false</ScaleCrop>
  <Company/>
  <LinksUpToDate>false</LinksUpToDate>
  <CharactersWithSpaces>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冉以发</cp:lastModifiedBy>
  <cp:revision>20</cp:revision>
  <cp:lastPrinted>2016-10-05T12:46:00Z</cp:lastPrinted>
  <dcterms:created xsi:type="dcterms:W3CDTF">2016-10-03T02:38:00Z</dcterms:created>
  <dcterms:modified xsi:type="dcterms:W3CDTF">2016-10-30T12:22:00Z</dcterms:modified>
</cp:coreProperties>
</file>